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B12" w:rsidRPr="001300E7" w:rsidRDefault="00144B12" w:rsidP="00144B12">
      <w:pPr>
        <w:jc w:val="center"/>
        <w:rPr>
          <w:rFonts w:cs="Arial"/>
          <w:b/>
          <w:sz w:val="22"/>
          <w:szCs w:val="22"/>
        </w:rPr>
      </w:pPr>
      <w:r w:rsidRPr="001300E7">
        <w:rPr>
          <w:rFonts w:cs="Arial"/>
          <w:b/>
          <w:sz w:val="22"/>
          <w:szCs w:val="22"/>
        </w:rPr>
        <w:t xml:space="preserve">SCHEDULE OF REQUIREMENTS FOR </w:t>
      </w:r>
      <w:r>
        <w:rPr>
          <w:rFonts w:cs="Arial"/>
          <w:b/>
          <w:sz w:val="22"/>
          <w:szCs w:val="22"/>
        </w:rPr>
        <w:t>THE PROVISION OF AIR EXPERIENCE FLYING TO HANDLING SQUADRON RAF BOSCOMBE DOWN - PURCHASE ORDER</w:t>
      </w:r>
    </w:p>
    <w:p w:rsidR="00144B12" w:rsidRPr="00F044B8" w:rsidRDefault="00144B12" w:rsidP="00144B12">
      <w:pPr>
        <w:rPr>
          <w:rFonts w:cs="Arial"/>
          <w:sz w:val="22"/>
          <w:szCs w:val="22"/>
        </w:rPr>
      </w:pP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2991"/>
        <w:gridCol w:w="1917"/>
        <w:gridCol w:w="1929"/>
        <w:gridCol w:w="1932"/>
        <w:gridCol w:w="1920"/>
        <w:gridCol w:w="1997"/>
        <w:gridCol w:w="12"/>
      </w:tblGrid>
      <w:tr w:rsidR="00144B12" w:rsidRPr="008E7F46" w:rsidTr="00D56A3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trHeight w:val="535"/>
          <w:tblHeader/>
          <w:jc w:val="center"/>
        </w:trPr>
        <w:tc>
          <w:tcPr>
            <w:tcW w:w="819" w:type="dxa"/>
            <w:shd w:val="pct12" w:color="auto" w:fill="auto"/>
            <w:vAlign w:val="center"/>
          </w:tcPr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 w:rsidRPr="008E7F46">
              <w:rPr>
                <w:rFonts w:cs="Arial"/>
                <w:b/>
              </w:rPr>
              <w:t>ITEM No</w:t>
            </w:r>
          </w:p>
        </w:tc>
        <w:tc>
          <w:tcPr>
            <w:tcW w:w="1983" w:type="dxa"/>
            <w:shd w:val="pct12" w:color="auto" w:fill="auto"/>
            <w:vAlign w:val="center"/>
          </w:tcPr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 w:rsidRPr="008E7F46">
              <w:rPr>
                <w:rFonts w:cs="Arial"/>
                <w:b/>
              </w:rPr>
              <w:t>DESCRIPTION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6424" w:type="dxa"/>
            <w:gridSpan w:val="5"/>
            <w:shd w:val="pct12" w:color="auto" w:fill="auto"/>
          </w:tcPr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 w:rsidRPr="008E7F46">
              <w:rPr>
                <w:rFonts w:cs="Arial"/>
                <w:b/>
              </w:rPr>
              <w:t>FIRM PRICE (excl</w:t>
            </w:r>
            <w:r>
              <w:rPr>
                <w:rFonts w:cs="Arial"/>
                <w:b/>
              </w:rPr>
              <w:t>uding</w:t>
            </w:r>
            <w:r w:rsidRPr="008E7F46">
              <w:rPr>
                <w:rFonts w:cs="Arial"/>
                <w:b/>
              </w:rPr>
              <w:t xml:space="preserve"> VAT)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 w:rsidRPr="008E7F46">
              <w:rPr>
                <w:rFonts w:cs="Arial"/>
                <w:b/>
              </w:rPr>
              <w:t>£</w:t>
            </w:r>
          </w:p>
          <w:p w:rsidR="00144B12" w:rsidRPr="008E7F46" w:rsidRDefault="00144B12" w:rsidP="00D56A3E">
            <w:pPr>
              <w:tabs>
                <w:tab w:val="left" w:pos="3150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</w:tc>
      </w:tr>
      <w:tr w:rsidR="00144B12" w:rsidRPr="008E7F46" w:rsidTr="00D56A3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trHeight w:val="465"/>
          <w:tblHeader/>
          <w:jc w:val="center"/>
        </w:trPr>
        <w:tc>
          <w:tcPr>
            <w:tcW w:w="819" w:type="dxa"/>
            <w:shd w:val="pct12" w:color="auto" w:fill="auto"/>
            <w:vAlign w:val="center"/>
          </w:tcPr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983" w:type="dxa"/>
            <w:shd w:val="pct12" w:color="auto" w:fill="auto"/>
            <w:vAlign w:val="center"/>
          </w:tcPr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267" w:type="dxa"/>
            <w:shd w:val="pct12" w:color="auto" w:fill="auto"/>
            <w:vAlign w:val="center"/>
          </w:tcPr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 1</w:t>
            </w:r>
          </w:p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10 JUNE 2019 – </w:t>
            </w:r>
          </w:p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 JUNE 2020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£</w:t>
            </w:r>
          </w:p>
        </w:tc>
        <w:tc>
          <w:tcPr>
            <w:tcW w:w="1279" w:type="dxa"/>
            <w:shd w:val="pct12" w:color="auto" w:fill="auto"/>
            <w:vAlign w:val="center"/>
          </w:tcPr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 2</w:t>
            </w:r>
          </w:p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 JUNE 2020 –         09 JUNE 2021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£</w:t>
            </w:r>
          </w:p>
        </w:tc>
        <w:tc>
          <w:tcPr>
            <w:tcW w:w="1281" w:type="dxa"/>
            <w:shd w:val="pct12" w:color="auto" w:fill="auto"/>
            <w:vAlign w:val="center"/>
          </w:tcPr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 3</w:t>
            </w:r>
          </w:p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 JUNE 2021 –       09 JUNE 2022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£</w:t>
            </w:r>
          </w:p>
        </w:tc>
        <w:tc>
          <w:tcPr>
            <w:tcW w:w="1273" w:type="dxa"/>
            <w:shd w:val="pct12" w:color="auto" w:fill="auto"/>
            <w:vAlign w:val="center"/>
          </w:tcPr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Option Year 1</w:t>
            </w:r>
          </w:p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 JUNE 2022 –       09 JUNE 2023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£</w:t>
            </w:r>
          </w:p>
        </w:tc>
        <w:tc>
          <w:tcPr>
            <w:tcW w:w="1324" w:type="dxa"/>
            <w:shd w:val="pct12" w:color="auto" w:fill="auto"/>
            <w:vAlign w:val="center"/>
          </w:tcPr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Option Year 2</w:t>
            </w:r>
          </w:p>
          <w:p w:rsidR="00144B12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 JUNE 2023 –         09 JUNE 2024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£</w:t>
            </w:r>
          </w:p>
        </w:tc>
      </w:tr>
      <w:tr w:rsidR="00144B12" w:rsidRPr="008E7F46" w:rsidTr="00D56A3E">
        <w:tblPrEx>
          <w:tblCellMar>
            <w:top w:w="0" w:type="dxa"/>
            <w:bottom w:w="0" w:type="dxa"/>
          </w:tblCellMar>
        </w:tblPrEx>
        <w:trPr>
          <w:trHeight w:val="4828"/>
          <w:jc w:val="center"/>
        </w:trPr>
        <w:tc>
          <w:tcPr>
            <w:tcW w:w="819" w:type="dxa"/>
          </w:tcPr>
          <w:p w:rsidR="00144B12" w:rsidRPr="008E7F46" w:rsidRDefault="00144B12" w:rsidP="00D56A3E">
            <w:pPr>
              <w:rPr>
                <w:rFonts w:cs="Arial"/>
                <w:b/>
                <w:highlight w:val="cyan"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  <w:r w:rsidRPr="008E7F46">
              <w:rPr>
                <w:rFonts w:cs="Arial"/>
                <w:b/>
              </w:rPr>
              <w:t>1.</w:t>
            </w:r>
          </w:p>
          <w:p w:rsidR="00144B12" w:rsidRPr="008E7F46" w:rsidRDefault="00144B12" w:rsidP="00D56A3E">
            <w:pPr>
              <w:jc w:val="center"/>
              <w:rPr>
                <w:rFonts w:cs="Arial"/>
                <w:b/>
                <w:highlight w:val="cyan"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  <w:highlight w:val="cyan"/>
              </w:rPr>
            </w:pPr>
          </w:p>
          <w:p w:rsidR="00144B12" w:rsidRPr="008E7F46" w:rsidRDefault="00144B12" w:rsidP="00D56A3E">
            <w:pPr>
              <w:rPr>
                <w:rFonts w:cs="Arial"/>
                <w:b/>
                <w:highlight w:val="cyan"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  <w:highlight w:val="cyan"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jc w:val="center"/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rPr>
                <w:rFonts w:cs="Arial"/>
                <w:b/>
              </w:rPr>
            </w:pPr>
          </w:p>
          <w:p w:rsidR="00144B12" w:rsidRPr="008E7F46" w:rsidRDefault="00144B12" w:rsidP="00D56A3E">
            <w:pPr>
              <w:rPr>
                <w:rFonts w:cs="Arial"/>
                <w:b/>
              </w:rPr>
            </w:pPr>
          </w:p>
        </w:tc>
        <w:tc>
          <w:tcPr>
            <w:tcW w:w="1983" w:type="dxa"/>
          </w:tcPr>
          <w:p w:rsidR="00144B12" w:rsidRPr="008F4C4B" w:rsidRDefault="00144B12" w:rsidP="00D56A3E">
            <w:pPr>
              <w:pStyle w:val="BodyText2"/>
              <w:rPr>
                <w:rFonts w:cs="Arial"/>
                <w:b/>
                <w:sz w:val="22"/>
              </w:rPr>
            </w:pPr>
          </w:p>
          <w:p w:rsidR="00144B12" w:rsidRDefault="00144B12" w:rsidP="00D56A3E">
            <w:pPr>
              <w:rPr>
                <w:rFonts w:cs="Arial"/>
              </w:rPr>
            </w:pPr>
            <w:r w:rsidRPr="00641E95">
              <w:rPr>
                <w:rFonts w:cs="Arial"/>
              </w:rPr>
              <w:t>Provide up to 22 hours flight dual instruction for Handling Squadron personnel, delivered by a licensed Flying Instructor; and up to 45 hours solo flight to be flown by appropriately licenced Handling Squadron personnel in a powered aircraft operated from a suitable</w:t>
            </w:r>
            <w:r>
              <w:rPr>
                <w:rFonts w:cs="Arial"/>
              </w:rPr>
              <w:t xml:space="preserve"> l</w:t>
            </w:r>
            <w:r w:rsidRPr="00641E95">
              <w:rPr>
                <w:rFonts w:cs="Arial"/>
              </w:rPr>
              <w:t>icenced airfield within 45 minutes travelling time from MoD Boscombe Down.</w:t>
            </w:r>
          </w:p>
          <w:p w:rsidR="00144B12" w:rsidRDefault="00144B12" w:rsidP="00D56A3E">
            <w:pPr>
              <w:rPr>
                <w:rFonts w:cs="Arial"/>
              </w:rPr>
            </w:pPr>
          </w:p>
          <w:p w:rsidR="00144B12" w:rsidRPr="008F4C4B" w:rsidRDefault="00144B12" w:rsidP="00D56A3E">
            <w:pPr>
              <w:rPr>
                <w:rFonts w:cs="Arial"/>
                <w:sz w:val="22"/>
              </w:rPr>
            </w:pPr>
            <w:r>
              <w:rPr>
                <w:rFonts w:cs="Arial"/>
              </w:rPr>
              <w:t>Up to 67 hours per year.</w:t>
            </w:r>
          </w:p>
        </w:tc>
        <w:tc>
          <w:tcPr>
            <w:tcW w:w="1271" w:type="dxa"/>
          </w:tcPr>
          <w:p w:rsidR="00144B12" w:rsidRDefault="00144B12" w:rsidP="00D56A3E">
            <w:pPr>
              <w:tabs>
                <w:tab w:val="decimal" w:pos="1309"/>
              </w:tabs>
              <w:ind w:right="175"/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</w:tc>
        <w:tc>
          <w:tcPr>
            <w:tcW w:w="1275" w:type="dxa"/>
          </w:tcPr>
          <w:p w:rsidR="00144B12" w:rsidRDefault="00144B12" w:rsidP="00D56A3E">
            <w:pPr>
              <w:tabs>
                <w:tab w:val="decimal" w:pos="1447"/>
              </w:tabs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</w:tc>
        <w:tc>
          <w:tcPr>
            <w:tcW w:w="1281" w:type="dxa"/>
          </w:tcPr>
          <w:p w:rsidR="00144B12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</w:tc>
        <w:tc>
          <w:tcPr>
            <w:tcW w:w="1273" w:type="dxa"/>
          </w:tcPr>
          <w:p w:rsidR="00144B12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</w:tc>
        <w:tc>
          <w:tcPr>
            <w:tcW w:w="1332" w:type="dxa"/>
            <w:gridSpan w:val="2"/>
          </w:tcPr>
          <w:p w:rsidR="00144B12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  <w:p w:rsidR="00144B12" w:rsidRDefault="00144B12" w:rsidP="00D56A3E">
            <w:pPr>
              <w:rPr>
                <w:rFonts w:cs="Arial"/>
              </w:rPr>
            </w:pPr>
          </w:p>
          <w:p w:rsidR="00144B12" w:rsidRPr="00641E95" w:rsidRDefault="00144B12" w:rsidP="00D56A3E">
            <w:pPr>
              <w:rPr>
                <w:rFonts w:cs="Arial"/>
              </w:rPr>
            </w:pPr>
          </w:p>
        </w:tc>
      </w:tr>
      <w:tr w:rsidR="00144B12" w:rsidRPr="008E7F46" w:rsidTr="00D56A3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trHeight w:val="723"/>
          <w:jc w:val="center"/>
        </w:trPr>
        <w:tc>
          <w:tcPr>
            <w:tcW w:w="819" w:type="dxa"/>
          </w:tcPr>
          <w:p w:rsidR="00144B12" w:rsidRPr="008E7F46" w:rsidRDefault="00144B12" w:rsidP="00D56A3E">
            <w:pPr>
              <w:jc w:val="center"/>
              <w:rPr>
                <w:rFonts w:cs="Arial"/>
              </w:rPr>
            </w:pPr>
          </w:p>
        </w:tc>
        <w:tc>
          <w:tcPr>
            <w:tcW w:w="1983" w:type="dxa"/>
          </w:tcPr>
          <w:p w:rsidR="00144B12" w:rsidRPr="008E7F46" w:rsidRDefault="00144B12" w:rsidP="00D56A3E">
            <w:pPr>
              <w:rPr>
                <w:rFonts w:cs="Arial"/>
                <w:b/>
              </w:rPr>
            </w:pPr>
          </w:p>
        </w:tc>
        <w:tc>
          <w:tcPr>
            <w:tcW w:w="6424" w:type="dxa"/>
            <w:gridSpan w:val="5"/>
          </w:tcPr>
          <w:p w:rsidR="00144B12" w:rsidRPr="008E7F46" w:rsidRDefault="00144B12" w:rsidP="00D56A3E">
            <w:pPr>
              <w:tabs>
                <w:tab w:val="decimal" w:pos="1735"/>
              </w:tabs>
              <w:jc w:val="center"/>
              <w:rPr>
                <w:rFonts w:cs="Arial"/>
                <w:b/>
              </w:rPr>
            </w:pPr>
          </w:p>
          <w:p w:rsidR="00144B12" w:rsidRPr="00641E95" w:rsidRDefault="00144B12" w:rsidP="00D56A3E">
            <w:pPr>
              <w:tabs>
                <w:tab w:val="decimal" w:pos="1735"/>
              </w:tabs>
              <w:jc w:val="center"/>
              <w:rPr>
                <w:rFonts w:cs="Arial"/>
                <w:b/>
              </w:rPr>
            </w:pPr>
            <w:r w:rsidRPr="00641E95">
              <w:rPr>
                <w:rFonts w:cs="Arial"/>
                <w:b/>
                <w:sz w:val="16"/>
              </w:rPr>
              <w:t xml:space="preserve">Overall Total for 3 Year Contract (not including Option periods) </w:t>
            </w:r>
          </w:p>
        </w:tc>
      </w:tr>
      <w:tr w:rsidR="00144B12" w:rsidRPr="008E7F46" w:rsidTr="00D56A3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trHeight w:val="70"/>
          <w:jc w:val="center"/>
        </w:trPr>
        <w:tc>
          <w:tcPr>
            <w:tcW w:w="9226" w:type="dxa"/>
            <w:gridSpan w:val="7"/>
          </w:tcPr>
          <w:p w:rsidR="00144B12" w:rsidRPr="008E7F46" w:rsidRDefault="00144B12" w:rsidP="00D56A3E">
            <w:pPr>
              <w:rPr>
                <w:rFonts w:cs="Arial"/>
                <w:b/>
              </w:rPr>
            </w:pPr>
            <w:r w:rsidRPr="008E7F46">
              <w:rPr>
                <w:rFonts w:cs="Arial"/>
              </w:rPr>
              <w:t>VAT: Responsibility for the determination of VAT liability rests with the Contractor who should consult his/her local HM Customs and Excise VAT Office (and not the Contracts Branch) in cases of doubt.</w:t>
            </w:r>
          </w:p>
        </w:tc>
      </w:tr>
    </w:tbl>
    <w:p w:rsidR="00B13613" w:rsidRPr="00144B12" w:rsidRDefault="00B13613" w:rsidP="00144B12">
      <w:bookmarkStart w:id="0" w:name="_GoBack"/>
      <w:bookmarkEnd w:id="0"/>
    </w:p>
    <w:sectPr w:rsidR="00B13613" w:rsidRPr="00144B12" w:rsidSect="00144B1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12"/>
    <w:rsid w:val="00144B12"/>
    <w:rsid w:val="00B1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092425-426C-4F76-BF6B-B8F52599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4B1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44B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4B12"/>
    <w:rPr>
      <w:rFonts w:ascii="Arial" w:eastAsia="Times New Roman" w:hAnsi="Arial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Fairman, Gillian Ms (Air-Comrcl Sourcing 1c2)</dc:creator>
  <cp:keywords/>
  <dc:description/>
  <cp:lastModifiedBy>Fairman, Gillian Ms (Air-Comrcl Sourcing 1c2)</cp:lastModifiedBy>
  <cp:revision>1</cp:revision>
  <dcterms:created xsi:type="dcterms:W3CDTF">2019-07-12T10:45:00Z</dcterms:created>
  <dcterms:modified xsi:type="dcterms:W3CDTF">2019-07-12T10:49:00Z</dcterms:modified>
</cp:coreProperties>
</file>